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3A7" w:rsidRDefault="001923A7" w:rsidP="001923A7">
      <w:pPr>
        <w:jc w:val="center"/>
        <w:rPr>
          <w:rFonts w:ascii="Century Gothic" w:hAnsi="Century Gothic" w:cstheme="minorHAnsi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ascii="Century Gothic" w:hAnsi="Century Gothic" w:cstheme="minorHAnsi"/>
          <w:b/>
          <w:bCs/>
          <w:color w:val="333333"/>
          <w:sz w:val="40"/>
          <w:szCs w:val="40"/>
          <w:highlight w:val="lightGray"/>
          <w:shd w:val="clear" w:color="auto" w:fill="FFFFFF"/>
        </w:rPr>
        <w:t>ПОДГОТОВКА К ИССЛЕДОВАНИЯМ</w:t>
      </w:r>
    </w:p>
    <w:p w:rsidR="001923A7" w:rsidRDefault="001923A7" w:rsidP="001923A7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1923A7" w:rsidRDefault="001923A7" w:rsidP="001923A7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1923A7" w:rsidRDefault="001923A7" w:rsidP="001923A7">
      <w:pPr>
        <w:pStyle w:val="a3"/>
        <w:numPr>
          <w:ilvl w:val="0"/>
          <w:numId w:val="6"/>
        </w:numPr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 xml:space="preserve">При себе иметь медицинскую документацию, относящуюся к зоне обследования: </w:t>
      </w:r>
    </w:p>
    <w:p w:rsidR="001923A7" w:rsidRDefault="001923A7" w:rsidP="001923A7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>- направление - выписки из стационара - данные предыдущих исследований, таких как МРТ, УЗИ, КТ, если они выполнены в другом лечебном учреждении.</w:t>
      </w:r>
    </w:p>
    <w:p w:rsidR="001923A7" w:rsidRDefault="001923A7" w:rsidP="001923A7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</w:p>
    <w:p w:rsidR="001923A7" w:rsidRPr="00FF1797" w:rsidRDefault="001923A7" w:rsidP="004E7EAE">
      <w:pPr>
        <w:pStyle w:val="a3"/>
        <w:numPr>
          <w:ilvl w:val="0"/>
          <w:numId w:val="6"/>
        </w:num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</w:t>
      </w:r>
      <w:r>
        <w:rPr>
          <w:rFonts w:ascii="Century Gothic" w:hAnsi="Century Gothic" w:cstheme="minorHAnsi"/>
          <w:bCs/>
          <w:color w:val="333333"/>
          <w:shd w:val="clear" w:color="auto" w:fill="FFFFFF"/>
        </w:rPr>
        <w:t>.</w:t>
      </w:r>
    </w:p>
    <w:p w:rsidR="004E7EAE" w:rsidRDefault="004E7EAE" w:rsidP="004E7EAE">
      <w:pPr>
        <w:rPr>
          <w:rFonts w:ascii="Century Gothic" w:hAnsi="Century Gothic" w:cstheme="minorHAnsi"/>
          <w:b/>
          <w:sz w:val="56"/>
          <w:szCs w:val="56"/>
          <w:lang w:eastAsia="ru-RU"/>
        </w:rPr>
      </w:pPr>
      <w:r>
        <w:rPr>
          <w:rFonts w:ascii="Century Gothic" w:hAnsi="Century Gothic" w:cstheme="minorHAnsi"/>
          <w:b/>
          <w:sz w:val="56"/>
          <w:szCs w:val="56"/>
          <w:lang w:eastAsia="ru-RU"/>
        </w:rPr>
        <w:t>КТ</w:t>
      </w:r>
    </w:p>
    <w:p w:rsidR="004E7EAE" w:rsidRDefault="004E7EAE" w:rsidP="004E7EAE">
      <w:pPr>
        <w:jc w:val="both"/>
        <w:rPr>
          <w:rFonts w:ascii="Century Gothic" w:hAnsi="Century Gothic" w:cstheme="minorHAnsi"/>
          <w:lang w:eastAsia="ru-RU"/>
        </w:rPr>
      </w:pPr>
    </w:p>
    <w:p w:rsidR="004E7EAE" w:rsidRDefault="004E7EAE" w:rsidP="004E7EAE">
      <w:pPr>
        <w:pStyle w:val="a3"/>
        <w:numPr>
          <w:ilvl w:val="0"/>
          <w:numId w:val="6"/>
        </w:num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 xml:space="preserve">При назначении КТ исследования с внутривенным контрастированием, необходимо предоставить результаты биохимического анализа крови – </w:t>
      </w:r>
      <w:proofErr w:type="spellStart"/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креатинин</w:t>
      </w:r>
      <w:proofErr w:type="spellEnd"/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 xml:space="preserve"> (</w:t>
      </w:r>
      <w:proofErr w:type="spellStart"/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мкмоль</w:t>
      </w:r>
      <w:proofErr w:type="spellEnd"/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/л; анализ действителен в течение 14 дней).</w:t>
      </w:r>
    </w:p>
    <w:p w:rsidR="004E7EAE" w:rsidRDefault="004E7EAE" w:rsidP="004E7EAE">
      <w:pPr>
        <w:jc w:val="both"/>
        <w:rPr>
          <w:rFonts w:ascii="Century Gothic" w:hAnsi="Century Gothic" w:cstheme="minorHAnsi"/>
          <w:b/>
          <w:bCs/>
          <w:u w:val="single"/>
        </w:rPr>
      </w:pPr>
    </w:p>
    <w:p w:rsidR="004E7EAE" w:rsidRDefault="004E7EAE" w:rsidP="004E7EAE">
      <w:pPr>
        <w:jc w:val="both"/>
        <w:rPr>
          <w:rFonts w:ascii="Century Gothic" w:hAnsi="Century Gothic" w:cstheme="minorHAnsi"/>
          <w:b/>
          <w:bCs/>
          <w:u w:val="single"/>
        </w:rPr>
      </w:pPr>
      <w:r>
        <w:rPr>
          <w:rFonts w:ascii="Century Gothic" w:hAnsi="Century Gothic" w:cstheme="minorHAnsi"/>
          <w:b/>
          <w:bCs/>
          <w:highlight w:val="lightGray"/>
          <w:u w:val="single"/>
        </w:rPr>
        <w:t xml:space="preserve">Виртуальная </w:t>
      </w:r>
      <w:proofErr w:type="spellStart"/>
      <w:r>
        <w:rPr>
          <w:rFonts w:ascii="Century Gothic" w:hAnsi="Century Gothic" w:cstheme="minorHAnsi"/>
          <w:b/>
          <w:bCs/>
          <w:highlight w:val="lightGray"/>
          <w:u w:val="single"/>
        </w:rPr>
        <w:t>колоноскопия</w:t>
      </w:r>
      <w:proofErr w:type="spellEnd"/>
      <w:r>
        <w:rPr>
          <w:rFonts w:ascii="Century Gothic" w:hAnsi="Century Gothic" w:cstheme="minorHAnsi"/>
          <w:b/>
          <w:bCs/>
          <w:highlight w:val="lightGray"/>
          <w:u w:val="single"/>
        </w:rPr>
        <w:t>:</w:t>
      </w:r>
    </w:p>
    <w:p w:rsidR="004E7EAE" w:rsidRDefault="004E7EAE" w:rsidP="004E7EAE">
      <w:pPr>
        <w:jc w:val="both"/>
        <w:rPr>
          <w:rFonts w:ascii="Century Gothic" w:hAnsi="Century Gothic" w:cstheme="minorHAnsi"/>
          <w:b/>
          <w:bCs/>
          <w:u w:val="single"/>
        </w:rPr>
      </w:pPr>
    </w:p>
    <w:p w:rsidR="004E7EAE" w:rsidRDefault="004E7EAE" w:rsidP="004E7EAE">
      <w:p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Подготовка кишечника является обязательным компонентом программы КТ-исследования и имеет следующие основные этапы: </w:t>
      </w:r>
    </w:p>
    <w:p w:rsidR="004E7EAE" w:rsidRDefault="004E7EAE" w:rsidP="004E7EAE">
      <w:pPr>
        <w:jc w:val="both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 xml:space="preserve">1. Диета. </w:t>
      </w:r>
    </w:p>
    <w:p w:rsidR="004E7EAE" w:rsidRDefault="004E7EAE" w:rsidP="004E7EAE">
      <w:pPr>
        <w:jc w:val="both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 xml:space="preserve">2. Очищение. </w:t>
      </w:r>
    </w:p>
    <w:p w:rsidR="004E7EAE" w:rsidRDefault="004E7EAE" w:rsidP="004E7EAE">
      <w:pPr>
        <w:jc w:val="both"/>
        <w:rPr>
          <w:rFonts w:ascii="Century Gothic" w:hAnsi="Century Gothic" w:cstheme="minorHAnsi"/>
        </w:rPr>
      </w:pPr>
    </w:p>
    <w:p w:rsidR="004E7EAE" w:rsidRDefault="004E7EAE" w:rsidP="004E7EAE">
      <w:p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  <w:b/>
        </w:rPr>
        <w:t>1 ЭТАП - Диета.</w:t>
      </w:r>
      <w:r>
        <w:rPr>
          <w:rFonts w:ascii="Century Gothic" w:hAnsi="Century Gothic" w:cstheme="minorHAnsi"/>
        </w:rPr>
        <w:t xml:space="preserve"> Подготовка к исследованию начинается с контроля питания: пища с низким содержанием клетчатки − за 72 часа до начала исследования, исключение твердой пищи − минимум за 24 часа, жидкая диета − минимум за 12 часов до исследования</w:t>
      </w:r>
    </w:p>
    <w:p w:rsidR="004E7EAE" w:rsidRPr="00FF1797" w:rsidRDefault="004E7EAE" w:rsidP="00FF1797">
      <w:pPr>
        <w:jc w:val="both"/>
        <w:rPr>
          <w:rFonts w:ascii="Century Gothic" w:hAnsi="Century Gothic" w:cstheme="minorHAnsi"/>
        </w:rPr>
      </w:pPr>
    </w:p>
    <w:p w:rsidR="004E7EAE" w:rsidRDefault="004E7EAE" w:rsidP="004E7EAE">
      <w:pPr>
        <w:pStyle w:val="a3"/>
        <w:jc w:val="both"/>
        <w:rPr>
          <w:rFonts w:ascii="Century Gothic" w:hAnsi="Century Gothic" w:cstheme="minorHAnsi"/>
        </w:rPr>
      </w:pPr>
    </w:p>
    <w:p w:rsidR="004E7EAE" w:rsidRDefault="004E7EAE" w:rsidP="004E7EAE">
      <w:pPr>
        <w:jc w:val="both"/>
        <w:rPr>
          <w:rFonts w:ascii="Century Gothic" w:hAnsi="Century Gothic" w:cstheme="minorHAnsi"/>
          <w:b/>
          <w:i/>
          <w:sz w:val="20"/>
          <w:szCs w:val="20"/>
        </w:rPr>
      </w:pPr>
      <w:r>
        <w:rPr>
          <w:rFonts w:ascii="Century Gothic" w:hAnsi="Century Gothic" w:cstheme="minorHAnsi"/>
          <w:b/>
          <w:i/>
          <w:sz w:val="20"/>
          <w:szCs w:val="20"/>
        </w:rPr>
        <w:t>Рекомендации по рациону питания на этапе подготовки к лучевым исследованиям кишечника</w:t>
      </w:r>
    </w:p>
    <w:p w:rsidR="004E7EAE" w:rsidRDefault="004E7EAE" w:rsidP="004E7EAE">
      <w:pPr>
        <w:jc w:val="both"/>
        <w:rPr>
          <w:rFonts w:ascii="Century Gothic" w:hAnsi="Century Gothic" w:cstheme="minorHAnsi"/>
          <w:b/>
          <w:i/>
          <w:sz w:val="20"/>
          <w:szCs w:val="20"/>
        </w:rPr>
      </w:pP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4E7EAE" w:rsidTr="00062B3F">
        <w:tc>
          <w:tcPr>
            <w:tcW w:w="4672" w:type="dxa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  <w:b/>
              </w:rPr>
              <w:t>Разрешено</w:t>
            </w:r>
          </w:p>
        </w:tc>
        <w:tc>
          <w:tcPr>
            <w:tcW w:w="4672" w:type="dxa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  <w:b/>
              </w:rPr>
              <w:t>Рекомендовано не употреблять за 3 суток (72 ч)</w:t>
            </w:r>
          </w:p>
        </w:tc>
      </w:tr>
      <w:tr w:rsidR="004E7EAE" w:rsidTr="00062B3F">
        <w:tc>
          <w:tcPr>
            <w:tcW w:w="9344" w:type="dxa"/>
            <w:gridSpan w:val="2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  <w:b/>
              </w:rPr>
              <w:t>Продукты питания</w:t>
            </w:r>
          </w:p>
        </w:tc>
      </w:tr>
      <w:tr w:rsidR="004E7EAE" w:rsidTr="00062B3F">
        <w:tc>
          <w:tcPr>
            <w:tcW w:w="4672" w:type="dxa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Сыр, сметана, сливочное масло, йогурт без добавок и наполнителей, кисломолочные продукты</w:t>
            </w:r>
          </w:p>
        </w:tc>
        <w:tc>
          <w:tcPr>
            <w:tcW w:w="4672" w:type="dxa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Все хлебобулочные, мучные и макаронные изделия</w:t>
            </w:r>
          </w:p>
        </w:tc>
      </w:tr>
      <w:tr w:rsidR="004E7EAE" w:rsidTr="00062B3F">
        <w:tc>
          <w:tcPr>
            <w:tcW w:w="4672" w:type="dxa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Яйца</w:t>
            </w:r>
          </w:p>
        </w:tc>
        <w:tc>
          <w:tcPr>
            <w:tcW w:w="4672" w:type="dxa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Овощи, включая картофель, зелень, грибы, морскую капусту</w:t>
            </w:r>
          </w:p>
        </w:tc>
      </w:tr>
      <w:tr w:rsidR="004E7EAE" w:rsidTr="00062B3F">
        <w:tc>
          <w:tcPr>
            <w:tcW w:w="4672" w:type="dxa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Мясо, птица и рыба нежирных сортов (в отварном, паровом или тушеном виде)</w:t>
            </w:r>
          </w:p>
        </w:tc>
        <w:tc>
          <w:tcPr>
            <w:tcW w:w="4672" w:type="dxa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Крупы, каши, бобовые, злаковые, орехи, семечки, кунжут, мак, зерна, отруби и другие семена, специи</w:t>
            </w:r>
          </w:p>
        </w:tc>
      </w:tr>
      <w:tr w:rsidR="004E7EAE" w:rsidTr="00062B3F">
        <w:tc>
          <w:tcPr>
            <w:tcW w:w="4672" w:type="dxa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Хорошо проваренный белый рис (кроме плова)</w:t>
            </w:r>
          </w:p>
        </w:tc>
        <w:tc>
          <w:tcPr>
            <w:tcW w:w="4672" w:type="dxa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Жесткое мясо с хрящами, консервы</w:t>
            </w:r>
          </w:p>
        </w:tc>
      </w:tr>
      <w:tr w:rsidR="004E7EAE" w:rsidTr="00062B3F">
        <w:tc>
          <w:tcPr>
            <w:tcW w:w="4672" w:type="dxa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>Сахар, мед (не в сотах).</w:t>
            </w:r>
          </w:p>
          <w:p w:rsidR="004E7EAE" w:rsidRDefault="004E7EAE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Разрешенные продукты не должны содержать мелкие косточки, зерна, семена, семечки, отруби</w:t>
            </w:r>
          </w:p>
        </w:tc>
        <w:tc>
          <w:tcPr>
            <w:tcW w:w="4672" w:type="dxa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 xml:space="preserve">Сосиски, колбасы, морепродукты, фрукты, ягоды, включая сухофрукты, варенье, джем, мармелад, желе, чипсы, гамбургеры, шоколад, любые </w:t>
            </w:r>
            <w:r>
              <w:rPr>
                <w:rFonts w:ascii="Century Gothic" w:eastAsia="Calibri" w:hAnsi="Century Gothic" w:cstheme="minorHAnsi"/>
              </w:rPr>
              <w:lastRenderedPageBreak/>
              <w:t>другие продукты, не входящие в список разрешенных</w:t>
            </w:r>
          </w:p>
        </w:tc>
      </w:tr>
      <w:tr w:rsidR="004E7EAE" w:rsidTr="00062B3F">
        <w:tc>
          <w:tcPr>
            <w:tcW w:w="9344" w:type="dxa"/>
            <w:gridSpan w:val="2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  <w:b/>
              </w:rPr>
              <w:lastRenderedPageBreak/>
              <w:t>Жидкости</w:t>
            </w:r>
          </w:p>
        </w:tc>
      </w:tr>
      <w:tr w:rsidR="004E7EAE" w:rsidTr="00062B3F">
        <w:tc>
          <w:tcPr>
            <w:tcW w:w="4672" w:type="dxa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Вода</w:t>
            </w:r>
          </w:p>
        </w:tc>
        <w:tc>
          <w:tcPr>
            <w:tcW w:w="4672" w:type="dxa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Алкоголь</w:t>
            </w:r>
          </w:p>
        </w:tc>
      </w:tr>
      <w:tr w:rsidR="004E7EAE" w:rsidTr="00062B3F">
        <w:tc>
          <w:tcPr>
            <w:tcW w:w="4672" w:type="dxa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Бульоны (прозрачные, процеженные)</w:t>
            </w:r>
          </w:p>
        </w:tc>
        <w:tc>
          <w:tcPr>
            <w:tcW w:w="4672" w:type="dxa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Газированные напитки</w:t>
            </w:r>
          </w:p>
        </w:tc>
      </w:tr>
      <w:tr w:rsidR="004E7EAE" w:rsidTr="00062B3F">
        <w:tc>
          <w:tcPr>
            <w:tcW w:w="4672" w:type="dxa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proofErr w:type="spellStart"/>
            <w:r>
              <w:rPr>
                <w:rFonts w:ascii="Century Gothic" w:eastAsia="Calibri" w:hAnsi="Century Gothic" w:cstheme="minorHAnsi"/>
              </w:rPr>
              <w:t>Cок</w:t>
            </w:r>
            <w:proofErr w:type="spellEnd"/>
            <w:r>
              <w:rPr>
                <w:rFonts w:ascii="Century Gothic" w:eastAsia="Calibri" w:hAnsi="Century Gothic" w:cstheme="minorHAnsi"/>
              </w:rPr>
              <w:t xml:space="preserve"> без мякоти</w:t>
            </w:r>
          </w:p>
        </w:tc>
        <w:tc>
          <w:tcPr>
            <w:tcW w:w="4672" w:type="dxa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Кофе</w:t>
            </w:r>
          </w:p>
        </w:tc>
      </w:tr>
      <w:tr w:rsidR="004E7EAE" w:rsidTr="00062B3F">
        <w:tc>
          <w:tcPr>
            <w:tcW w:w="4672" w:type="dxa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Чай</w:t>
            </w:r>
          </w:p>
        </w:tc>
        <w:tc>
          <w:tcPr>
            <w:tcW w:w="4672" w:type="dxa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Компот, кисель</w:t>
            </w:r>
          </w:p>
        </w:tc>
      </w:tr>
      <w:tr w:rsidR="004E7EAE" w:rsidTr="00062B3F">
        <w:tc>
          <w:tcPr>
            <w:tcW w:w="4672" w:type="dxa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Безалкогольные неокрашенные напитки</w:t>
            </w:r>
          </w:p>
        </w:tc>
        <w:tc>
          <w:tcPr>
            <w:tcW w:w="4672" w:type="dxa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Молоко</w:t>
            </w:r>
          </w:p>
        </w:tc>
      </w:tr>
    </w:tbl>
    <w:p w:rsidR="004E7EAE" w:rsidRDefault="004E7EAE" w:rsidP="004E7EAE">
      <w:pPr>
        <w:jc w:val="both"/>
        <w:rPr>
          <w:rFonts w:ascii="Century Gothic" w:hAnsi="Century Gothic" w:cstheme="minorHAnsi"/>
        </w:rPr>
      </w:pPr>
    </w:p>
    <w:p w:rsidR="004E7EAE" w:rsidRDefault="004E7EAE" w:rsidP="004E7EAE">
      <w:pPr>
        <w:jc w:val="both"/>
        <w:rPr>
          <w:rFonts w:ascii="Century Gothic" w:hAnsi="Century Gothic" w:cstheme="minorHAnsi"/>
          <w:i/>
        </w:rPr>
      </w:pPr>
      <w:r>
        <w:rPr>
          <w:rFonts w:ascii="Century Gothic" w:hAnsi="Century Gothic" w:cstheme="minorHAnsi"/>
          <w:i/>
          <w:highlight w:val="yellow"/>
        </w:rPr>
        <w:t xml:space="preserve">* Клинические рекомендации Российского эндоскопического общества «Подготовка пациентов к эндоскопическому исследованию толстой кишки». – 3-е изд., </w:t>
      </w:r>
      <w:proofErr w:type="spellStart"/>
      <w:r>
        <w:rPr>
          <w:rFonts w:ascii="Century Gothic" w:hAnsi="Century Gothic" w:cstheme="minorHAnsi"/>
          <w:i/>
          <w:highlight w:val="yellow"/>
        </w:rPr>
        <w:t>переаб</w:t>
      </w:r>
      <w:proofErr w:type="spellEnd"/>
      <w:proofErr w:type="gramStart"/>
      <w:r>
        <w:rPr>
          <w:rFonts w:ascii="Century Gothic" w:hAnsi="Century Gothic" w:cstheme="minorHAnsi"/>
          <w:i/>
          <w:highlight w:val="yellow"/>
        </w:rPr>
        <w:t>.</w:t>
      </w:r>
      <w:proofErr w:type="gramEnd"/>
      <w:r>
        <w:rPr>
          <w:rFonts w:ascii="Century Gothic" w:hAnsi="Century Gothic" w:cstheme="minorHAnsi"/>
          <w:i/>
          <w:highlight w:val="yellow"/>
        </w:rPr>
        <w:t xml:space="preserve"> и доп. – Москва, 2017; </w:t>
      </w:r>
      <w:proofErr w:type="spellStart"/>
      <w:r>
        <w:rPr>
          <w:rFonts w:ascii="Century Gothic" w:hAnsi="Century Gothic" w:cstheme="minorHAnsi"/>
          <w:i/>
          <w:highlight w:val="yellow"/>
        </w:rPr>
        <w:t>Hassan</w:t>
      </w:r>
      <w:proofErr w:type="spellEnd"/>
      <w:r>
        <w:rPr>
          <w:rFonts w:ascii="Century Gothic" w:hAnsi="Century Gothic" w:cstheme="minorHAnsi"/>
          <w:i/>
          <w:highlight w:val="yellow"/>
        </w:rPr>
        <w:t xml:space="preserve"> </w:t>
      </w:r>
      <w:proofErr w:type="spellStart"/>
      <w:r>
        <w:rPr>
          <w:rFonts w:ascii="Century Gothic" w:hAnsi="Century Gothic" w:cstheme="minorHAnsi"/>
          <w:i/>
          <w:highlight w:val="yellow"/>
        </w:rPr>
        <w:t>et</w:t>
      </w:r>
      <w:proofErr w:type="spellEnd"/>
      <w:r>
        <w:rPr>
          <w:rFonts w:ascii="Century Gothic" w:hAnsi="Century Gothic" w:cstheme="minorHAnsi"/>
          <w:i/>
          <w:highlight w:val="yellow"/>
        </w:rPr>
        <w:t xml:space="preserve"> </w:t>
      </w:r>
      <w:proofErr w:type="spellStart"/>
      <w:r>
        <w:rPr>
          <w:rFonts w:ascii="Century Gothic" w:hAnsi="Century Gothic" w:cstheme="minorHAnsi"/>
          <w:i/>
          <w:highlight w:val="yellow"/>
        </w:rPr>
        <w:t>al</w:t>
      </w:r>
      <w:proofErr w:type="spellEnd"/>
      <w:r>
        <w:rPr>
          <w:rFonts w:ascii="Century Gothic" w:hAnsi="Century Gothic" w:cstheme="minorHAnsi"/>
          <w:i/>
          <w:highlight w:val="yellow"/>
        </w:rPr>
        <w:t xml:space="preserve">. </w:t>
      </w:r>
      <w:r>
        <w:rPr>
          <w:rFonts w:ascii="Century Gothic" w:hAnsi="Century Gothic" w:cstheme="minorHAnsi"/>
          <w:i/>
          <w:highlight w:val="yellow"/>
          <w:lang w:val="en-US"/>
        </w:rPr>
        <w:t xml:space="preserve">Bowel preparation for colonoscopy: European Society of Gastrointestinal Endoscopy (ESGE) Guideline // Endoscopy. </w:t>
      </w:r>
      <w:r>
        <w:rPr>
          <w:rFonts w:ascii="Century Gothic" w:hAnsi="Century Gothic" w:cstheme="minorHAnsi"/>
          <w:i/>
          <w:highlight w:val="yellow"/>
        </w:rPr>
        <w:t>− 2013. − №45. − P. 142−150</w:t>
      </w:r>
    </w:p>
    <w:p w:rsidR="004E7EAE" w:rsidRDefault="004E7EAE" w:rsidP="004E7EAE">
      <w:pPr>
        <w:jc w:val="both"/>
        <w:rPr>
          <w:rFonts w:ascii="Century Gothic" w:hAnsi="Century Gothic" w:cstheme="minorHAnsi"/>
          <w:i/>
        </w:rPr>
      </w:pPr>
    </w:p>
    <w:p w:rsidR="004E7EAE" w:rsidRDefault="004E7EAE" w:rsidP="004E7EAE">
      <w:pPr>
        <w:jc w:val="both"/>
        <w:rPr>
          <w:rFonts w:ascii="Century Gothic" w:hAnsi="Century Gothic" w:cstheme="minorHAnsi"/>
          <w:i/>
        </w:rPr>
      </w:pPr>
    </w:p>
    <w:p w:rsidR="004E7EAE" w:rsidRDefault="004E7EAE" w:rsidP="004E7EAE">
      <w:pPr>
        <w:jc w:val="both"/>
        <w:rPr>
          <w:rFonts w:ascii="Century Gothic" w:hAnsi="Century Gothic" w:cstheme="minorHAnsi"/>
          <w:b/>
          <w:bCs/>
          <w:u w:val="single"/>
        </w:rPr>
      </w:pPr>
      <w:r>
        <w:rPr>
          <w:rFonts w:ascii="Century Gothic" w:hAnsi="Century Gothic" w:cstheme="minorHAnsi"/>
          <w:b/>
        </w:rPr>
        <w:t>2 Этап - Очищение</w:t>
      </w:r>
    </w:p>
    <w:p w:rsidR="004E7EAE" w:rsidRDefault="004E7EAE" w:rsidP="004E7EAE">
      <w:p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Вам потребуется самостоятельно приобрести в аптеке: </w:t>
      </w:r>
    </w:p>
    <w:p w:rsidR="004E7EAE" w:rsidRDefault="004E7EAE" w:rsidP="004E7EAE">
      <w:pPr>
        <w:jc w:val="both"/>
        <w:rPr>
          <w:rFonts w:ascii="Century Gothic" w:hAnsi="Century Gothic" w:cstheme="minorHAnsi"/>
        </w:rPr>
      </w:pPr>
      <w:r>
        <w:rPr>
          <w:rFonts w:ascii="Symbol" w:eastAsia="Symbol" w:hAnsi="Symbol" w:cs="Symbol"/>
        </w:rPr>
        <w:t></w:t>
      </w:r>
      <w:r>
        <w:rPr>
          <w:rFonts w:ascii="Century Gothic" w:hAnsi="Century Gothic" w:cstheme="minorHAnsi"/>
        </w:rPr>
        <w:t xml:space="preserve"> </w:t>
      </w:r>
      <w:proofErr w:type="spellStart"/>
      <w:r>
        <w:rPr>
          <w:rFonts w:ascii="Century Gothic" w:hAnsi="Century Gothic" w:cstheme="minorHAnsi"/>
        </w:rPr>
        <w:t>Фортранс</w:t>
      </w:r>
      <w:proofErr w:type="spellEnd"/>
      <w:r>
        <w:rPr>
          <w:rFonts w:ascii="Century Gothic" w:hAnsi="Century Gothic" w:cstheme="minorHAnsi"/>
        </w:rPr>
        <w:t xml:space="preserve">® или </w:t>
      </w:r>
      <w:proofErr w:type="spellStart"/>
      <w:r>
        <w:rPr>
          <w:rFonts w:ascii="Century Gothic" w:hAnsi="Century Gothic" w:cstheme="minorHAnsi"/>
        </w:rPr>
        <w:t>Мовипреп</w:t>
      </w:r>
      <w:proofErr w:type="spellEnd"/>
      <w:r>
        <w:rPr>
          <w:rFonts w:ascii="Century Gothic" w:hAnsi="Century Gothic" w:cstheme="minorHAnsi"/>
        </w:rPr>
        <w:t xml:space="preserve">® (количество см. в таблице ниже в разделе «дозировка») </w:t>
      </w:r>
    </w:p>
    <w:p w:rsidR="004E7EAE" w:rsidRDefault="004E7EAE" w:rsidP="004E7EAE">
      <w:pPr>
        <w:jc w:val="both"/>
        <w:rPr>
          <w:rFonts w:ascii="Century Gothic" w:hAnsi="Century Gothic" w:cstheme="minorHAnsi"/>
        </w:rPr>
      </w:pPr>
    </w:p>
    <w:p w:rsidR="004E7EAE" w:rsidRDefault="004E7EAE" w:rsidP="004E7EAE">
      <w:pPr>
        <w:jc w:val="both"/>
        <w:rPr>
          <w:rFonts w:ascii="Century Gothic" w:hAnsi="Century Gothic" w:cstheme="minorHAnsi"/>
        </w:rPr>
      </w:pP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E7EAE" w:rsidTr="00062B3F">
        <w:tc>
          <w:tcPr>
            <w:tcW w:w="3115" w:type="dxa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</w:rPr>
            </w:pPr>
          </w:p>
        </w:tc>
        <w:tc>
          <w:tcPr>
            <w:tcW w:w="3115" w:type="dxa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  <w:b/>
              </w:rPr>
            </w:pPr>
            <w:proofErr w:type="spellStart"/>
            <w:r>
              <w:rPr>
                <w:rFonts w:ascii="Century Gothic" w:eastAsia="Calibri" w:hAnsi="Century Gothic" w:cstheme="minorHAnsi"/>
                <w:b/>
              </w:rPr>
              <w:t>Фортранс</w:t>
            </w:r>
            <w:proofErr w:type="spellEnd"/>
            <w:r>
              <w:rPr>
                <w:rFonts w:ascii="Century Gothic" w:eastAsia="Calibri" w:hAnsi="Century Gothic" w:cstheme="minorHAnsi"/>
                <w:b/>
              </w:rPr>
              <w:t xml:space="preserve"> ®</w:t>
            </w:r>
          </w:p>
        </w:tc>
        <w:tc>
          <w:tcPr>
            <w:tcW w:w="3115" w:type="dxa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  <w:b/>
              </w:rPr>
            </w:pPr>
            <w:proofErr w:type="spellStart"/>
            <w:r>
              <w:rPr>
                <w:rFonts w:ascii="Century Gothic" w:eastAsia="Calibri" w:hAnsi="Century Gothic" w:cstheme="minorHAnsi"/>
                <w:b/>
              </w:rPr>
              <w:t>Мовипреп</w:t>
            </w:r>
            <w:proofErr w:type="spellEnd"/>
            <w:r>
              <w:rPr>
                <w:rFonts w:ascii="Century Gothic" w:eastAsia="Calibri" w:hAnsi="Century Gothic" w:cstheme="minorHAnsi"/>
                <w:b/>
              </w:rPr>
              <w:t xml:space="preserve"> ®</w:t>
            </w:r>
          </w:p>
        </w:tc>
      </w:tr>
      <w:tr w:rsidR="004E7EAE" w:rsidTr="00062B3F">
        <w:tc>
          <w:tcPr>
            <w:tcW w:w="3115" w:type="dxa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eastAsia="Calibri" w:hAnsi="Century Gothic" w:cstheme="minorHAnsi"/>
                <w:b/>
              </w:rPr>
              <w:t>Дозировка</w:t>
            </w:r>
          </w:p>
        </w:tc>
        <w:tc>
          <w:tcPr>
            <w:tcW w:w="3115" w:type="dxa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 xml:space="preserve">Зависит от массы тела: </w:t>
            </w:r>
          </w:p>
          <w:p w:rsidR="004E7EAE" w:rsidRDefault="004E7EAE" w:rsidP="00062B3F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 xml:space="preserve">• до 60 кг – 3 пакетика (саше) </w:t>
            </w:r>
          </w:p>
          <w:p w:rsidR="004E7EAE" w:rsidRDefault="004E7EAE" w:rsidP="00062B3F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 xml:space="preserve">• 61-80 кг – 4 пакетика (саше) </w:t>
            </w:r>
          </w:p>
          <w:p w:rsidR="004E7EAE" w:rsidRDefault="004E7EAE" w:rsidP="00062B3F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>• 81-100 кг – 5 пакетиков (саше)</w:t>
            </w:r>
          </w:p>
        </w:tc>
        <w:tc>
          <w:tcPr>
            <w:tcW w:w="3115" w:type="dxa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 xml:space="preserve">Не зависит от массы: </w:t>
            </w:r>
          </w:p>
          <w:p w:rsidR="004E7EAE" w:rsidRDefault="004E7EAE" w:rsidP="00062B3F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 xml:space="preserve">• одна упаковка = две пары пакетиков (А+В) </w:t>
            </w:r>
          </w:p>
          <w:p w:rsidR="004E7EAE" w:rsidRDefault="004E7EAE" w:rsidP="00062B3F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>• всего получается два литра раствора</w:t>
            </w:r>
          </w:p>
        </w:tc>
      </w:tr>
      <w:tr w:rsidR="004E7EAE" w:rsidTr="00062B3F">
        <w:tc>
          <w:tcPr>
            <w:tcW w:w="3115" w:type="dxa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eastAsia="Calibri" w:hAnsi="Century Gothic" w:cstheme="minorHAnsi"/>
                <w:b/>
              </w:rPr>
              <w:t>Разведение</w:t>
            </w:r>
          </w:p>
        </w:tc>
        <w:tc>
          <w:tcPr>
            <w:tcW w:w="3115" w:type="dxa"/>
          </w:tcPr>
          <w:p w:rsidR="004E7EAE" w:rsidRPr="00D379DB" w:rsidRDefault="004E7EAE" w:rsidP="00062B3F">
            <w:pPr>
              <w:jc w:val="both"/>
              <w:rPr>
                <w:rFonts w:ascii="Century Gothic" w:eastAsia="Calibri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>• Каждый пакетик разводится в литре негазированной воды, можно добавить лимонный сок</w:t>
            </w:r>
          </w:p>
        </w:tc>
        <w:tc>
          <w:tcPr>
            <w:tcW w:w="3115" w:type="dxa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>• Каждая пара пакетиков (саше А+В) разводится в одном литре негазированной воды</w:t>
            </w:r>
          </w:p>
        </w:tc>
      </w:tr>
      <w:tr w:rsidR="004E7EAE" w:rsidTr="00062B3F">
        <w:tc>
          <w:tcPr>
            <w:tcW w:w="3115" w:type="dxa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eastAsia="Calibri" w:hAnsi="Century Gothic" w:cstheme="minorHAnsi"/>
                <w:b/>
              </w:rPr>
              <w:t>Время приёма</w:t>
            </w:r>
          </w:p>
        </w:tc>
        <w:tc>
          <w:tcPr>
            <w:tcW w:w="3115" w:type="dxa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 xml:space="preserve">• Прием раствора </w:t>
            </w:r>
            <w:proofErr w:type="spellStart"/>
            <w:r>
              <w:rPr>
                <w:rFonts w:ascii="Century Gothic" w:eastAsia="Calibri" w:hAnsi="Century Gothic" w:cstheme="minorHAnsi"/>
              </w:rPr>
              <w:t>Фортранса</w:t>
            </w:r>
            <w:proofErr w:type="spellEnd"/>
            <w:r>
              <w:rPr>
                <w:rFonts w:ascii="Century Gothic" w:eastAsia="Calibri" w:hAnsi="Century Gothic" w:cstheme="minorHAnsi"/>
              </w:rPr>
              <w:t xml:space="preserve"> начинается накануне исследования с 15.00 до 20.00  </w:t>
            </w:r>
          </w:p>
          <w:p w:rsidR="004E7EAE" w:rsidRDefault="004E7EAE" w:rsidP="00062B3F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>•Параллельно разрешена жидкая пища</w:t>
            </w:r>
          </w:p>
        </w:tc>
        <w:tc>
          <w:tcPr>
            <w:tcW w:w="3115" w:type="dxa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 xml:space="preserve">• Прием раствора </w:t>
            </w:r>
            <w:proofErr w:type="spellStart"/>
            <w:r>
              <w:rPr>
                <w:rFonts w:ascii="Century Gothic" w:eastAsia="Calibri" w:hAnsi="Century Gothic" w:cstheme="minorHAnsi"/>
              </w:rPr>
              <w:t>Мовипрепа</w:t>
            </w:r>
            <w:proofErr w:type="spellEnd"/>
            <w:r>
              <w:rPr>
                <w:rFonts w:ascii="Century Gothic" w:eastAsia="Calibri" w:hAnsi="Century Gothic" w:cstheme="minorHAnsi"/>
              </w:rPr>
              <w:t xml:space="preserve"> начинается накануне исследования с 16.00 до 20.00 </w:t>
            </w:r>
          </w:p>
          <w:p w:rsidR="004E7EAE" w:rsidRDefault="004E7EAE" w:rsidP="00062B3F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>• Параллельно разрешена жидкая пища</w:t>
            </w:r>
          </w:p>
        </w:tc>
      </w:tr>
      <w:tr w:rsidR="004E7EAE" w:rsidTr="00062B3F">
        <w:trPr>
          <w:trHeight w:val="547"/>
        </w:trPr>
        <w:tc>
          <w:tcPr>
            <w:tcW w:w="9345" w:type="dxa"/>
            <w:gridSpan w:val="3"/>
          </w:tcPr>
          <w:p w:rsidR="004E7EAE" w:rsidRDefault="004E7EAE" w:rsidP="00062B3F">
            <w:pPr>
              <w:jc w:val="both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eastAsia="Calibri" w:hAnsi="Century Gothic" w:cstheme="minorHAnsi"/>
                <w:b/>
              </w:rPr>
              <w:t xml:space="preserve">Эффекты </w:t>
            </w:r>
          </w:p>
          <w:p w:rsidR="004E7EAE" w:rsidRDefault="004E7EAE" w:rsidP="00062B3F">
            <w:pPr>
              <w:jc w:val="both"/>
              <w:rPr>
                <w:rFonts w:ascii="Century Gothic" w:hAnsi="Century Gothic" w:cstheme="minorHAnsi"/>
              </w:rPr>
            </w:pPr>
          </w:p>
          <w:p w:rsidR="004E7EAE" w:rsidRDefault="004E7EAE" w:rsidP="00062B3F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>• Через 1-2 ч. после начала приема появляется безболезненный жидкий стул • Стул перейдёт в прозрачную или слегка окрашенную жидкость через 2-3 ч. после приема последней порции</w:t>
            </w:r>
          </w:p>
        </w:tc>
      </w:tr>
    </w:tbl>
    <w:p w:rsidR="004E7EAE" w:rsidRDefault="004E7EAE" w:rsidP="004E7EAE">
      <w:pPr>
        <w:jc w:val="both"/>
        <w:rPr>
          <w:rFonts w:ascii="Century Gothic" w:hAnsi="Century Gothic" w:cstheme="minorHAnsi"/>
        </w:rPr>
      </w:pPr>
    </w:p>
    <w:p w:rsidR="004E7EAE" w:rsidRDefault="004E7EAE" w:rsidP="004E7EAE">
      <w:pPr>
        <w:pStyle w:val="a3"/>
        <w:numPr>
          <w:ilvl w:val="0"/>
          <w:numId w:val="6"/>
        </w:numPr>
        <w:jc w:val="both"/>
        <w:rPr>
          <w:rFonts w:ascii="Century Gothic" w:hAnsi="Century Gothic" w:cstheme="minorHAnsi"/>
          <w:highlight w:val="yellow"/>
        </w:rPr>
      </w:pPr>
      <w:r>
        <w:rPr>
          <w:rFonts w:ascii="Century Gothic" w:hAnsi="Century Gothic" w:cstheme="minorHAnsi"/>
          <w:highlight w:val="yellow"/>
        </w:rPr>
        <w:t xml:space="preserve">В процессе подготовки к </w:t>
      </w:r>
      <w:proofErr w:type="spellStart"/>
      <w:r>
        <w:rPr>
          <w:rFonts w:ascii="Century Gothic" w:hAnsi="Century Gothic" w:cstheme="minorHAnsi"/>
          <w:highlight w:val="yellow"/>
        </w:rPr>
        <w:t>колоноскопии</w:t>
      </w:r>
      <w:proofErr w:type="spellEnd"/>
      <w:r>
        <w:rPr>
          <w:rFonts w:ascii="Century Gothic" w:hAnsi="Century Gothic" w:cstheme="minorHAnsi"/>
          <w:highlight w:val="yellow"/>
        </w:rPr>
        <w:t xml:space="preserve"> нужно выполнять небольшую физическую нагрузку (зарядка, работа по дому, несложная гимнастика).</w:t>
      </w:r>
    </w:p>
    <w:p w:rsidR="004E7EAE" w:rsidRDefault="004E7EAE" w:rsidP="004E7EAE">
      <w:pPr>
        <w:pStyle w:val="a3"/>
        <w:jc w:val="both"/>
        <w:rPr>
          <w:rFonts w:ascii="Century Gothic" w:hAnsi="Century Gothic" w:cstheme="minorHAnsi"/>
          <w:highlight w:val="yellow"/>
        </w:rPr>
      </w:pPr>
    </w:p>
    <w:p w:rsidR="004E7EAE" w:rsidRPr="00FF1797" w:rsidRDefault="004E7EAE" w:rsidP="004E7EAE">
      <w:pPr>
        <w:pStyle w:val="a3"/>
        <w:numPr>
          <w:ilvl w:val="0"/>
          <w:numId w:val="6"/>
        </w:numPr>
        <w:jc w:val="both"/>
        <w:rPr>
          <w:rFonts w:ascii="Century Gothic" w:hAnsi="Century Gothic" w:cstheme="minorHAnsi"/>
          <w:highlight w:val="yellow"/>
        </w:rPr>
      </w:pPr>
      <w:r>
        <w:rPr>
          <w:rFonts w:ascii="Century Gothic" w:hAnsi="Century Gothic" w:cstheme="minorHAnsi"/>
          <w:highlight w:val="yellow"/>
        </w:rPr>
        <w:t xml:space="preserve">Очень важно выпить весь рекомендованный объем выбранного Вами препарата для наилучшей подготовки кишки к </w:t>
      </w:r>
      <w:proofErr w:type="spellStart"/>
      <w:r>
        <w:rPr>
          <w:rFonts w:ascii="Century Gothic" w:hAnsi="Century Gothic" w:cstheme="minorHAnsi"/>
          <w:highlight w:val="yellow"/>
        </w:rPr>
        <w:t>колоноскопии</w:t>
      </w:r>
      <w:proofErr w:type="spellEnd"/>
      <w:r>
        <w:rPr>
          <w:rFonts w:ascii="Century Gothic" w:hAnsi="Century Gothic" w:cstheme="minorHAnsi"/>
          <w:highlight w:val="yellow"/>
        </w:rPr>
        <w:t>!</w:t>
      </w:r>
    </w:p>
    <w:p w:rsidR="004E7EAE" w:rsidRDefault="004E7EAE" w:rsidP="004E7EAE">
      <w:pPr>
        <w:jc w:val="both"/>
        <w:rPr>
          <w:rFonts w:ascii="Century Gothic" w:hAnsi="Century Gothic" w:cstheme="minorHAnsi"/>
          <w:b/>
          <w:u w:val="single"/>
          <w:lang w:eastAsia="ru-RU"/>
        </w:rPr>
      </w:pPr>
    </w:p>
    <w:p w:rsidR="004E7EAE" w:rsidRDefault="004E7EAE" w:rsidP="004E7EAE">
      <w:pPr>
        <w:jc w:val="both"/>
        <w:rPr>
          <w:rFonts w:ascii="Century Gothic" w:hAnsi="Century Gothic" w:cstheme="minorHAnsi"/>
          <w:b/>
          <w:u w:val="single"/>
          <w:lang w:eastAsia="ru-RU"/>
        </w:rPr>
      </w:pPr>
      <w:r>
        <w:rPr>
          <w:rFonts w:ascii="Century Gothic" w:hAnsi="Century Gothic" w:cstheme="minorHAnsi"/>
          <w:b/>
          <w:highlight w:val="lightGray"/>
          <w:u w:val="single"/>
          <w:lang w:eastAsia="ru-RU"/>
        </w:rPr>
        <w:t>КТ-</w:t>
      </w:r>
      <w:proofErr w:type="spellStart"/>
      <w:r>
        <w:rPr>
          <w:rFonts w:ascii="Century Gothic" w:hAnsi="Century Gothic" w:cstheme="minorHAnsi"/>
          <w:b/>
          <w:highlight w:val="lightGray"/>
          <w:u w:val="single"/>
          <w:lang w:eastAsia="ru-RU"/>
        </w:rPr>
        <w:t>энтерография</w:t>
      </w:r>
      <w:proofErr w:type="spellEnd"/>
    </w:p>
    <w:p w:rsidR="004E7EAE" w:rsidRDefault="004E7EAE" w:rsidP="004E7EAE">
      <w:pPr>
        <w:jc w:val="both"/>
        <w:rPr>
          <w:rFonts w:ascii="Century Gothic" w:hAnsi="Century Gothic" w:cstheme="minorHAnsi"/>
          <w:b/>
          <w:u w:val="single"/>
          <w:lang w:eastAsia="ru-RU"/>
        </w:rPr>
      </w:pPr>
    </w:p>
    <w:p w:rsidR="004E7EAE" w:rsidRDefault="004E7EAE" w:rsidP="004E7EAE">
      <w:pPr>
        <w:pStyle w:val="a3"/>
        <w:numPr>
          <w:ilvl w:val="0"/>
          <w:numId w:val="1"/>
        </w:numPr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>За 3 дня до исследования рекомендуется диета: исключить употребление большого количества овощей, консервов, сосиски и колбасы, фрукты, выпечка, макароны, сладости, кофе, газированные напитки, крупы и бобовые, молоко. Разрешено пить бульон, сок, чай/воду, разрешено есть отварные мясо и рыбу, яйца, печенье, мед, картофель, белый рис, нежирные молочные продукты.</w:t>
      </w:r>
    </w:p>
    <w:p w:rsidR="004E7EAE" w:rsidRDefault="004E7EAE" w:rsidP="004E7EAE">
      <w:pPr>
        <w:pStyle w:val="a3"/>
        <w:jc w:val="both"/>
        <w:rPr>
          <w:rFonts w:ascii="Century Gothic" w:hAnsi="Century Gothic" w:cstheme="minorHAnsi"/>
          <w:lang w:eastAsia="ru-RU"/>
        </w:rPr>
      </w:pPr>
    </w:p>
    <w:p w:rsidR="004E7EAE" w:rsidRDefault="004E7EAE" w:rsidP="004E7EAE">
      <w:pPr>
        <w:pStyle w:val="a3"/>
        <w:numPr>
          <w:ilvl w:val="0"/>
          <w:numId w:val="1"/>
        </w:numPr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 xml:space="preserve">Запрет на прием пищи и напитков (кроме негазированной воды) за 4-6 часов до исследования. </w:t>
      </w:r>
    </w:p>
    <w:p w:rsidR="004E7EAE" w:rsidRDefault="004E7EAE" w:rsidP="004E7EAE">
      <w:pPr>
        <w:pStyle w:val="a3"/>
        <w:jc w:val="both"/>
        <w:rPr>
          <w:rFonts w:ascii="Century Gothic" w:hAnsi="Century Gothic" w:cstheme="minorHAnsi"/>
          <w:lang w:eastAsia="ru-RU"/>
        </w:rPr>
      </w:pPr>
    </w:p>
    <w:p w:rsidR="004E7EAE" w:rsidRDefault="004E7EAE" w:rsidP="004E7EAE">
      <w:pPr>
        <w:pStyle w:val="a3"/>
        <w:numPr>
          <w:ilvl w:val="0"/>
          <w:numId w:val="1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За 6–8 часов до исследования – 2 таблетки НО-ШПА Форте. </w:t>
      </w:r>
    </w:p>
    <w:p w:rsidR="004E7EAE" w:rsidRDefault="004E7EAE" w:rsidP="004E7EAE">
      <w:pPr>
        <w:pStyle w:val="a3"/>
        <w:numPr>
          <w:ilvl w:val="0"/>
          <w:numId w:val="1"/>
        </w:numPr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 xml:space="preserve">В отделение следует прибыть за час до назначенного времени исследования. </w:t>
      </w:r>
    </w:p>
    <w:p w:rsidR="004E7EAE" w:rsidRDefault="004E7EAE" w:rsidP="004E7EAE">
      <w:pPr>
        <w:pStyle w:val="a3"/>
        <w:jc w:val="both"/>
        <w:rPr>
          <w:rFonts w:ascii="Century Gothic" w:hAnsi="Century Gothic" w:cstheme="minorHAnsi"/>
          <w:lang w:eastAsia="ru-RU"/>
        </w:rPr>
      </w:pPr>
    </w:p>
    <w:p w:rsidR="004E7EAE" w:rsidRDefault="004E7EAE" w:rsidP="004E7EAE">
      <w:pPr>
        <w:pStyle w:val="a3"/>
        <w:numPr>
          <w:ilvl w:val="0"/>
          <w:numId w:val="1"/>
        </w:numPr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>В течение 40-60 мин. (в отделении) необходимо будет пить малыми дозами 1-1,5 литра воды.</w:t>
      </w:r>
    </w:p>
    <w:p w:rsidR="004E7EAE" w:rsidRDefault="004E7EAE" w:rsidP="004E7EAE">
      <w:pPr>
        <w:pStyle w:val="a3"/>
        <w:jc w:val="both"/>
        <w:rPr>
          <w:rFonts w:ascii="Century Gothic" w:hAnsi="Century Gothic" w:cstheme="minorHAnsi"/>
          <w:lang w:eastAsia="ru-RU"/>
        </w:rPr>
      </w:pPr>
    </w:p>
    <w:p w:rsidR="004E7EAE" w:rsidRDefault="004E7EAE" w:rsidP="004E7EAE">
      <w:pPr>
        <w:pStyle w:val="a3"/>
        <w:numPr>
          <w:ilvl w:val="0"/>
          <w:numId w:val="1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За 30 минут до исследования – 2 таблетки НО-ШПА Форте. </w:t>
      </w:r>
    </w:p>
    <w:p w:rsidR="004E7EAE" w:rsidRDefault="004E7EAE" w:rsidP="004E7EAE">
      <w:pPr>
        <w:ind w:left="360"/>
        <w:jc w:val="both"/>
        <w:rPr>
          <w:rFonts w:ascii="Century Gothic" w:hAnsi="Century Gothic" w:cstheme="minorHAnsi"/>
          <w:lang w:eastAsia="ru-RU"/>
        </w:rPr>
      </w:pPr>
    </w:p>
    <w:p w:rsidR="004E7EAE" w:rsidRDefault="004E7EAE" w:rsidP="004E7EAE">
      <w:pPr>
        <w:pStyle w:val="a3"/>
        <w:numPr>
          <w:ilvl w:val="0"/>
          <w:numId w:val="7"/>
        </w:numPr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highlight w:val="yellow"/>
          <w:lang w:eastAsia="ru-RU"/>
        </w:rPr>
        <w:t>МСКТ органов брюшной полости и забрюшинного пространства проводится до рентгенологических исследований пищеварительного тракта с бариевой взвесью, либо через неделю после.</w:t>
      </w:r>
    </w:p>
    <w:p w:rsidR="004E7EAE" w:rsidRDefault="004E7EAE" w:rsidP="004E7EAE">
      <w:pPr>
        <w:jc w:val="both"/>
        <w:rPr>
          <w:rFonts w:ascii="Century Gothic" w:hAnsi="Century Gothic" w:cstheme="minorHAnsi"/>
          <w:b/>
          <w:bCs/>
          <w:u w:val="single"/>
        </w:rPr>
      </w:pPr>
    </w:p>
    <w:p w:rsidR="004E7EAE" w:rsidRDefault="004E7EAE" w:rsidP="004E7EAE">
      <w:pPr>
        <w:jc w:val="both"/>
        <w:rPr>
          <w:rFonts w:ascii="Century Gothic" w:hAnsi="Century Gothic" w:cstheme="minorHAnsi"/>
          <w:b/>
          <w:bCs/>
          <w:u w:val="single"/>
        </w:rPr>
      </w:pPr>
    </w:p>
    <w:p w:rsidR="004E7EAE" w:rsidRDefault="004E7EAE" w:rsidP="004E7EAE">
      <w:pPr>
        <w:jc w:val="both"/>
        <w:rPr>
          <w:rFonts w:ascii="Century Gothic" w:hAnsi="Century Gothic" w:cstheme="minorHAnsi"/>
          <w:b/>
          <w:bCs/>
          <w:highlight w:val="lightGray"/>
        </w:rPr>
      </w:pPr>
      <w:r>
        <w:rPr>
          <w:rFonts w:ascii="Century Gothic" w:hAnsi="Century Gothic" w:cstheme="minorHAnsi"/>
          <w:b/>
          <w:bCs/>
          <w:highlight w:val="lightGray"/>
        </w:rPr>
        <w:t>КТ забрюшинного пространства</w:t>
      </w:r>
    </w:p>
    <w:p w:rsidR="004E7EAE" w:rsidRDefault="004E7EAE" w:rsidP="004E7EAE">
      <w:pPr>
        <w:jc w:val="both"/>
        <w:rPr>
          <w:rFonts w:ascii="Century Gothic" w:hAnsi="Century Gothic" w:cstheme="minorHAnsi"/>
          <w:b/>
          <w:bCs/>
          <w:u w:val="single"/>
        </w:rPr>
      </w:pPr>
      <w:r>
        <w:rPr>
          <w:rFonts w:ascii="Century Gothic" w:hAnsi="Century Gothic" w:cstheme="minorHAnsi"/>
          <w:bCs/>
        </w:rPr>
        <w:t>(</w:t>
      </w:r>
      <w:r>
        <w:rPr>
          <w:rFonts w:ascii="Century Gothic" w:hAnsi="Century Gothic"/>
        </w:rPr>
        <w:t>почки, надпочечники и мочевыводящие пути)</w:t>
      </w:r>
      <w:r>
        <w:rPr>
          <w:rFonts w:ascii="Century Gothic" w:hAnsi="Century Gothic" w:cstheme="minorHAnsi"/>
          <w:bCs/>
        </w:rPr>
        <w:t>:</w:t>
      </w:r>
    </w:p>
    <w:p w:rsidR="004E7EAE" w:rsidRDefault="004E7EAE" w:rsidP="004E7EAE">
      <w:pPr>
        <w:jc w:val="both"/>
        <w:rPr>
          <w:rFonts w:ascii="Century Gothic" w:hAnsi="Century Gothic" w:cstheme="minorHAnsi"/>
          <w:b/>
          <w:bCs/>
          <w:u w:val="single"/>
        </w:rPr>
      </w:pPr>
    </w:p>
    <w:p w:rsidR="004E7EAE" w:rsidRDefault="004E7EAE" w:rsidP="004E7EAE">
      <w:pPr>
        <w:pStyle w:val="a3"/>
        <w:numPr>
          <w:ilvl w:val="0"/>
          <w:numId w:val="2"/>
        </w:numPr>
        <w:jc w:val="both"/>
        <w:rPr>
          <w:rFonts w:ascii="Century Gothic" w:hAnsi="Century Gothic" w:cstheme="minorHAnsi"/>
          <w:bCs/>
        </w:rPr>
      </w:pPr>
      <w:r>
        <w:rPr>
          <w:rFonts w:ascii="Century Gothic" w:hAnsi="Century Gothic" w:cstheme="minorHAnsi"/>
          <w:bCs/>
        </w:rPr>
        <w:t xml:space="preserve">Допускается прием лекарств (запить небольшим количеством воды). </w:t>
      </w:r>
    </w:p>
    <w:p w:rsidR="004E7EAE" w:rsidRDefault="004E7EAE" w:rsidP="004E7EAE">
      <w:pPr>
        <w:pStyle w:val="a3"/>
        <w:numPr>
          <w:ilvl w:val="0"/>
          <w:numId w:val="2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3-4 часа голода перед исследованием если с контрастированием </w:t>
      </w:r>
    </w:p>
    <w:p w:rsidR="004E7EAE" w:rsidRDefault="004E7EAE" w:rsidP="004E7EAE">
      <w:pPr>
        <w:pStyle w:val="a3"/>
        <w:numPr>
          <w:ilvl w:val="0"/>
          <w:numId w:val="2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Мочевой пузырь среднего наполнения с наличием легкого позыва. </w:t>
      </w:r>
    </w:p>
    <w:p w:rsidR="004E7EAE" w:rsidRDefault="004E7EAE" w:rsidP="004E7EAE">
      <w:pPr>
        <w:pStyle w:val="a3"/>
        <w:numPr>
          <w:ilvl w:val="0"/>
          <w:numId w:val="2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Допустимо: чай, вода если назначены лекарства, то можно принимать.</w:t>
      </w:r>
    </w:p>
    <w:p w:rsidR="004E7EAE" w:rsidRDefault="004E7EAE" w:rsidP="004E7EAE">
      <w:pPr>
        <w:pStyle w:val="a3"/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</w:p>
    <w:p w:rsidR="004E7EAE" w:rsidRDefault="004E7EAE" w:rsidP="004E7EAE">
      <w:pPr>
        <w:tabs>
          <w:tab w:val="left" w:pos="2334"/>
        </w:tabs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highlight w:val="lightGray"/>
        </w:rPr>
        <w:t xml:space="preserve">КТ органов брюшной полости </w:t>
      </w:r>
    </w:p>
    <w:p w:rsidR="004E7EAE" w:rsidRDefault="004E7EAE" w:rsidP="004E7EAE">
      <w:pPr>
        <w:tabs>
          <w:tab w:val="left" w:pos="2334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(печень, желчевыводящие пути, желчный пузырь, поджелудочная железа, селезенка):</w:t>
      </w:r>
    </w:p>
    <w:p w:rsidR="004E7EAE" w:rsidRDefault="004E7EAE" w:rsidP="004E7EAE">
      <w:pPr>
        <w:tabs>
          <w:tab w:val="left" w:pos="2334"/>
        </w:tabs>
        <w:jc w:val="both"/>
        <w:rPr>
          <w:rFonts w:ascii="Century Gothic" w:hAnsi="Century Gothic"/>
          <w:b/>
        </w:rPr>
      </w:pPr>
    </w:p>
    <w:p w:rsidR="004E7EAE" w:rsidRDefault="004E7EAE" w:rsidP="004E7EAE">
      <w:pPr>
        <w:pStyle w:val="a3"/>
        <w:numPr>
          <w:ilvl w:val="0"/>
          <w:numId w:val="4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3-4 часа голода перед исследованием. </w:t>
      </w:r>
    </w:p>
    <w:p w:rsidR="004E7EAE" w:rsidRDefault="004E7EAE" w:rsidP="004E7EAE">
      <w:pPr>
        <w:pStyle w:val="a3"/>
        <w:numPr>
          <w:ilvl w:val="0"/>
          <w:numId w:val="4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Рекомендовано выпить 1000 мл негазированной воды малыми дозами в течение 60 минут перед исследованием. Допустимо: чай, вода если назначены лекарства, то можно принимать.</w:t>
      </w:r>
    </w:p>
    <w:p w:rsidR="004E7EAE" w:rsidRDefault="004E7EAE" w:rsidP="004E7EAE">
      <w:pPr>
        <w:tabs>
          <w:tab w:val="left" w:pos="2334"/>
        </w:tabs>
        <w:jc w:val="both"/>
        <w:rPr>
          <w:rFonts w:ascii="Century Gothic" w:hAnsi="Century Gothic"/>
          <w:b/>
        </w:rPr>
      </w:pPr>
    </w:p>
    <w:p w:rsidR="004E7EAE" w:rsidRDefault="004E7EAE" w:rsidP="004E7EAE">
      <w:pPr>
        <w:tabs>
          <w:tab w:val="left" w:pos="2334"/>
        </w:tabs>
        <w:jc w:val="both"/>
        <w:rPr>
          <w:rFonts w:ascii="Century Gothic" w:hAnsi="Century Gothic"/>
          <w:b/>
          <w:highlight w:val="lightGray"/>
        </w:rPr>
      </w:pPr>
      <w:r>
        <w:rPr>
          <w:rFonts w:ascii="Century Gothic" w:hAnsi="Century Gothic"/>
          <w:b/>
          <w:highlight w:val="lightGray"/>
        </w:rPr>
        <w:t>КТ органов малого таза</w:t>
      </w:r>
    </w:p>
    <w:p w:rsidR="004E7EAE" w:rsidRDefault="004E7EAE" w:rsidP="004E7EAE">
      <w:pPr>
        <w:pStyle w:val="a3"/>
        <w:numPr>
          <w:ilvl w:val="0"/>
          <w:numId w:val="4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3-4 часа голода перед исследованием если исследование с контрастированием</w:t>
      </w:r>
    </w:p>
    <w:p w:rsidR="004E7EAE" w:rsidRDefault="004E7EAE" w:rsidP="004E7EAE">
      <w:pPr>
        <w:pStyle w:val="a3"/>
        <w:numPr>
          <w:ilvl w:val="0"/>
          <w:numId w:val="4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Наполненный мочевой пузырь</w:t>
      </w:r>
    </w:p>
    <w:p w:rsidR="004E7EAE" w:rsidRDefault="004E7EAE" w:rsidP="004E7EAE">
      <w:pPr>
        <w:pStyle w:val="a3"/>
        <w:numPr>
          <w:ilvl w:val="0"/>
          <w:numId w:val="4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В идеале женщинам тампон во влагалище</w:t>
      </w:r>
    </w:p>
    <w:p w:rsidR="004E7EAE" w:rsidRDefault="004E7EAE" w:rsidP="004E7EAE">
      <w:pPr>
        <w:pStyle w:val="a3"/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Допустимо: чай, вода если назначены лекарства, то можно принимать.</w:t>
      </w:r>
    </w:p>
    <w:p w:rsidR="004E7EAE" w:rsidRDefault="004E7EAE" w:rsidP="004E7EAE">
      <w:pPr>
        <w:pStyle w:val="a3"/>
        <w:jc w:val="both"/>
        <w:rPr>
          <w:rFonts w:ascii="Century Gothic" w:hAnsi="Century Gothic" w:cstheme="minorHAnsi"/>
          <w:bCs/>
        </w:rPr>
      </w:pPr>
    </w:p>
    <w:p w:rsidR="004E7EAE" w:rsidRDefault="004E7EAE" w:rsidP="004E7EAE">
      <w:p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Если пациент проводит исследование </w:t>
      </w:r>
      <w:r>
        <w:rPr>
          <w:rFonts w:ascii="Century Gothic" w:hAnsi="Century Gothic" w:cstheme="minorHAnsi"/>
          <w:b/>
          <w:bCs/>
        </w:rPr>
        <w:t>КТ органов брюшной полости, забрюшинного пространства и органы малого таза</w:t>
      </w:r>
      <w:r>
        <w:rPr>
          <w:rFonts w:ascii="Century Gothic" w:hAnsi="Century Gothic" w:cstheme="minorHAnsi"/>
        </w:rPr>
        <w:t xml:space="preserve"> за один раз, то 3-4 часа голода перед </w:t>
      </w:r>
      <w:r>
        <w:rPr>
          <w:rFonts w:ascii="Century Gothic" w:hAnsi="Century Gothic" w:cstheme="minorHAnsi"/>
        </w:rPr>
        <w:lastRenderedPageBreak/>
        <w:t xml:space="preserve">исследованием, рекомендовано выпить 1000 мл негазированной воды малыми дозами в течение 60 минут перед исследованием. </w:t>
      </w:r>
    </w:p>
    <w:p w:rsidR="004E7EAE" w:rsidRDefault="004E7EAE" w:rsidP="004E7EAE">
      <w:pPr>
        <w:jc w:val="both"/>
        <w:rPr>
          <w:rFonts w:ascii="Century Gothic" w:hAnsi="Century Gothic" w:cstheme="minorHAnsi"/>
          <w:u w:val="single"/>
        </w:rPr>
      </w:pPr>
    </w:p>
    <w:p w:rsidR="004E7EAE" w:rsidRDefault="004E7EAE" w:rsidP="004E7EAE">
      <w:pPr>
        <w:jc w:val="both"/>
        <w:rPr>
          <w:rFonts w:ascii="Century Gothic" w:hAnsi="Century Gothic" w:cstheme="minorHAnsi"/>
          <w:u w:val="single"/>
        </w:rPr>
      </w:pPr>
    </w:p>
    <w:p w:rsidR="004E7EAE" w:rsidRDefault="004E7EAE" w:rsidP="004E7EAE">
      <w:pPr>
        <w:jc w:val="both"/>
        <w:rPr>
          <w:rFonts w:ascii="Century Gothic" w:hAnsi="Century Gothic" w:cstheme="minorHAnsi"/>
          <w:b/>
          <w:bCs/>
          <w:u w:val="single"/>
        </w:rPr>
      </w:pPr>
    </w:p>
    <w:p w:rsidR="004E7EAE" w:rsidRDefault="004E7EAE" w:rsidP="004E7EAE">
      <w:pPr>
        <w:jc w:val="both"/>
        <w:rPr>
          <w:rFonts w:ascii="Century Gothic" w:hAnsi="Century Gothic" w:cstheme="minorHAnsi"/>
          <w:b/>
          <w:bCs/>
          <w:highlight w:val="lightGray"/>
          <w:u w:val="single"/>
        </w:rPr>
      </w:pPr>
      <w:r>
        <w:rPr>
          <w:rFonts w:ascii="Century Gothic" w:hAnsi="Century Gothic" w:cstheme="minorHAnsi"/>
          <w:b/>
          <w:bCs/>
          <w:highlight w:val="lightGray"/>
          <w:u w:val="single"/>
        </w:rPr>
        <w:t>КТ-</w:t>
      </w:r>
      <w:proofErr w:type="spellStart"/>
      <w:r>
        <w:rPr>
          <w:rFonts w:ascii="Century Gothic" w:hAnsi="Century Gothic" w:cstheme="minorHAnsi"/>
          <w:b/>
          <w:bCs/>
          <w:highlight w:val="lightGray"/>
          <w:u w:val="single"/>
        </w:rPr>
        <w:t>коронарография</w:t>
      </w:r>
      <w:proofErr w:type="spellEnd"/>
      <w:r>
        <w:rPr>
          <w:rFonts w:ascii="Century Gothic" w:hAnsi="Century Gothic" w:cstheme="minorHAnsi"/>
          <w:b/>
          <w:bCs/>
          <w:highlight w:val="lightGray"/>
          <w:u w:val="single"/>
        </w:rPr>
        <w:t xml:space="preserve"> и кальций </w:t>
      </w:r>
      <w:proofErr w:type="spellStart"/>
      <w:r>
        <w:rPr>
          <w:rFonts w:ascii="Century Gothic" w:hAnsi="Century Gothic" w:cstheme="minorHAnsi"/>
          <w:b/>
          <w:bCs/>
          <w:highlight w:val="lightGray"/>
          <w:u w:val="single"/>
        </w:rPr>
        <w:t>скоринг</w:t>
      </w:r>
      <w:proofErr w:type="spellEnd"/>
      <w:r>
        <w:rPr>
          <w:rFonts w:ascii="Century Gothic" w:hAnsi="Century Gothic" w:cstheme="minorHAnsi"/>
          <w:b/>
          <w:bCs/>
          <w:highlight w:val="lightGray"/>
          <w:u w:val="single"/>
        </w:rPr>
        <w:t xml:space="preserve">: </w:t>
      </w:r>
    </w:p>
    <w:p w:rsidR="004E7EAE" w:rsidRDefault="004E7EAE" w:rsidP="004E7EAE">
      <w:pPr>
        <w:pStyle w:val="a3"/>
        <w:jc w:val="both"/>
        <w:rPr>
          <w:rFonts w:ascii="Century Gothic" w:eastAsia="Times New Roman" w:hAnsi="Century Gothic" w:cstheme="minorHAnsi"/>
          <w:u w:val="single"/>
        </w:rPr>
      </w:pPr>
    </w:p>
    <w:p w:rsidR="004E7EAE" w:rsidRDefault="004E7EAE" w:rsidP="004E7EAE">
      <w:pPr>
        <w:pStyle w:val="a3"/>
        <w:numPr>
          <w:ilvl w:val="0"/>
          <w:numId w:val="3"/>
        </w:numPr>
        <w:tabs>
          <w:tab w:val="left" w:pos="2334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Перед исследованием исключить употребление всех веществ, ускоряющих ритм сердца (кофеин, атропин, теофиллин, алкогольные напитки, курение). </w:t>
      </w:r>
    </w:p>
    <w:p w:rsidR="004E7EAE" w:rsidRDefault="004E7EAE" w:rsidP="004E7EAE">
      <w:pPr>
        <w:pStyle w:val="a3"/>
        <w:numPr>
          <w:ilvl w:val="0"/>
          <w:numId w:val="5"/>
        </w:numPr>
        <w:jc w:val="both"/>
        <w:rPr>
          <w:rFonts w:ascii="Century Gothic" w:eastAsia="Times New Roman" w:hAnsi="Century Gothic" w:cstheme="minorHAnsi"/>
          <w:i/>
        </w:rPr>
      </w:pPr>
      <w:r>
        <w:rPr>
          <w:rFonts w:ascii="Century Gothic" w:eastAsia="Times New Roman" w:hAnsi="Century Gothic" w:cstheme="minorHAnsi"/>
          <w:i/>
          <w:highlight w:val="yellow"/>
        </w:rPr>
        <w:t>Это нужно для того, чтобы пульс пациента не превышал 65 ударов в минуту.</w:t>
      </w:r>
    </w:p>
    <w:p w:rsidR="004E7EAE" w:rsidRDefault="004E7EAE" w:rsidP="004E7EAE">
      <w:pPr>
        <w:pStyle w:val="a3"/>
        <w:jc w:val="both"/>
        <w:rPr>
          <w:rFonts w:ascii="Century Gothic" w:eastAsia="Times New Roman" w:hAnsi="Century Gothic" w:cstheme="minorHAnsi"/>
          <w:i/>
        </w:rPr>
      </w:pPr>
    </w:p>
    <w:p w:rsidR="004E7EAE" w:rsidRDefault="004E7EAE" w:rsidP="004E7EAE">
      <w:pPr>
        <w:pStyle w:val="a3"/>
        <w:numPr>
          <w:ilvl w:val="0"/>
          <w:numId w:val="3"/>
        </w:numPr>
        <w:jc w:val="both"/>
        <w:rPr>
          <w:rFonts w:ascii="Century Gothic" w:eastAsia="Times New Roman" w:hAnsi="Century Gothic" w:cstheme="minorHAnsi"/>
          <w:i/>
        </w:rPr>
      </w:pPr>
      <w:r>
        <w:rPr>
          <w:rFonts w:ascii="Century Gothic" w:eastAsia="Times New Roman" w:hAnsi="Century Gothic" w:cstheme="minorHAnsi"/>
          <w:i/>
        </w:rPr>
        <w:t>Накануне исследования сердца, коронарных артерий запрещен прием препаратов, стимулирующих потенцию (</w:t>
      </w:r>
      <w:proofErr w:type="spellStart"/>
      <w:r>
        <w:rPr>
          <w:rFonts w:ascii="Century Gothic" w:eastAsia="Times New Roman" w:hAnsi="Century Gothic" w:cstheme="minorHAnsi"/>
          <w:i/>
        </w:rPr>
        <w:t>Силденафил</w:t>
      </w:r>
      <w:proofErr w:type="spellEnd"/>
      <w:r>
        <w:rPr>
          <w:rFonts w:ascii="Century Gothic" w:eastAsia="Times New Roman" w:hAnsi="Century Gothic" w:cstheme="minorHAnsi"/>
          <w:i/>
        </w:rPr>
        <w:t xml:space="preserve"> (Виагра) или </w:t>
      </w:r>
      <w:proofErr w:type="spellStart"/>
      <w:r>
        <w:rPr>
          <w:rFonts w:ascii="Century Gothic" w:eastAsia="Times New Roman" w:hAnsi="Century Gothic" w:cstheme="minorHAnsi"/>
          <w:i/>
        </w:rPr>
        <w:t>Тадалафис</w:t>
      </w:r>
      <w:proofErr w:type="spellEnd"/>
      <w:r>
        <w:rPr>
          <w:rFonts w:ascii="Century Gothic" w:eastAsia="Times New Roman" w:hAnsi="Century Gothic" w:cstheme="minorHAnsi"/>
          <w:i/>
        </w:rPr>
        <w:t xml:space="preserve"> (</w:t>
      </w:r>
      <w:proofErr w:type="spellStart"/>
      <w:r>
        <w:rPr>
          <w:rFonts w:ascii="Century Gothic" w:eastAsia="Times New Roman" w:hAnsi="Century Gothic" w:cstheme="minorHAnsi"/>
          <w:i/>
        </w:rPr>
        <w:t>Сиалис</w:t>
      </w:r>
      <w:proofErr w:type="spellEnd"/>
      <w:r>
        <w:rPr>
          <w:rFonts w:ascii="Century Gothic" w:eastAsia="Times New Roman" w:hAnsi="Century Gothic" w:cstheme="minorHAnsi"/>
          <w:i/>
        </w:rPr>
        <w:t xml:space="preserve">), </w:t>
      </w:r>
      <w:proofErr w:type="spellStart"/>
      <w:r>
        <w:rPr>
          <w:rFonts w:ascii="Century Gothic" w:eastAsia="Times New Roman" w:hAnsi="Century Gothic" w:cstheme="minorHAnsi"/>
          <w:i/>
        </w:rPr>
        <w:t>Варденафил</w:t>
      </w:r>
      <w:proofErr w:type="spellEnd"/>
      <w:r>
        <w:rPr>
          <w:rFonts w:ascii="Century Gothic" w:eastAsia="Times New Roman" w:hAnsi="Century Gothic" w:cstheme="minorHAnsi"/>
          <w:i/>
        </w:rPr>
        <w:t xml:space="preserve"> (</w:t>
      </w:r>
      <w:proofErr w:type="spellStart"/>
      <w:r>
        <w:rPr>
          <w:rFonts w:ascii="Century Gothic" w:eastAsia="Times New Roman" w:hAnsi="Century Gothic" w:cstheme="minorHAnsi"/>
          <w:i/>
        </w:rPr>
        <w:t>Ливитра</w:t>
      </w:r>
      <w:proofErr w:type="spellEnd"/>
      <w:r>
        <w:rPr>
          <w:rFonts w:ascii="Century Gothic" w:eastAsia="Times New Roman" w:hAnsi="Century Gothic" w:cstheme="minorHAnsi"/>
          <w:i/>
        </w:rPr>
        <w:t>)).</w:t>
      </w:r>
    </w:p>
    <w:p w:rsidR="004E7EAE" w:rsidRDefault="004E7EAE" w:rsidP="004E7EAE">
      <w:pPr>
        <w:pStyle w:val="a3"/>
        <w:numPr>
          <w:ilvl w:val="0"/>
          <w:numId w:val="3"/>
        </w:numPr>
        <w:jc w:val="both"/>
        <w:rPr>
          <w:rFonts w:ascii="Century Gothic" w:eastAsia="Times New Roman" w:hAnsi="Century Gothic" w:cstheme="minorHAnsi"/>
          <w:i/>
        </w:rPr>
      </w:pPr>
      <w:r>
        <w:rPr>
          <w:rFonts w:ascii="Century Gothic" w:eastAsia="Times New Roman" w:hAnsi="Century Gothic" w:cstheme="minorHAnsi"/>
          <w:i/>
        </w:rPr>
        <w:t xml:space="preserve">Если Вы принимаете бета-блокаторы, отмена препаратов не требуется (возьмите их с собой). </w:t>
      </w:r>
    </w:p>
    <w:p w:rsidR="004E7EAE" w:rsidRDefault="004E7EAE" w:rsidP="004E7EAE">
      <w:pPr>
        <w:pStyle w:val="a3"/>
        <w:numPr>
          <w:ilvl w:val="0"/>
          <w:numId w:val="5"/>
        </w:numPr>
        <w:jc w:val="both"/>
        <w:rPr>
          <w:rFonts w:ascii="Century Gothic" w:eastAsia="Times New Roman" w:hAnsi="Century Gothic" w:cstheme="minorHAnsi"/>
          <w:i/>
        </w:rPr>
      </w:pPr>
      <w:r>
        <w:rPr>
          <w:rFonts w:ascii="Century Gothic" w:eastAsia="Times New Roman" w:hAnsi="Century Gothic" w:cstheme="minorHAnsi"/>
          <w:i/>
          <w:highlight w:val="yellow"/>
        </w:rPr>
        <w:t>Уточните у своего лечащего врача, можно ли Вам принимать бета-блокаторы.</w:t>
      </w:r>
    </w:p>
    <w:p w:rsidR="004E7EAE" w:rsidRDefault="004E7EAE" w:rsidP="004E7EAE">
      <w:pPr>
        <w:pStyle w:val="a3"/>
        <w:numPr>
          <w:ilvl w:val="0"/>
          <w:numId w:val="3"/>
        </w:numPr>
        <w:jc w:val="both"/>
        <w:rPr>
          <w:rFonts w:ascii="Century Gothic" w:eastAsia="Times New Roman" w:hAnsi="Century Gothic" w:cstheme="minorHAnsi"/>
          <w:u w:val="single"/>
        </w:rPr>
      </w:pPr>
      <w:r>
        <w:rPr>
          <w:rFonts w:ascii="Century Gothic" w:hAnsi="Century Gothic" w:cstheme="minorHAnsi"/>
          <w:bCs/>
        </w:rPr>
        <w:t xml:space="preserve">Рекомендуется предоставить ЭКГ и результаты </w:t>
      </w:r>
      <w:proofErr w:type="spellStart"/>
      <w:r>
        <w:rPr>
          <w:rFonts w:ascii="Century Gothic" w:hAnsi="Century Gothic" w:cstheme="minorHAnsi"/>
          <w:bCs/>
        </w:rPr>
        <w:t>ЭхоКГ</w:t>
      </w:r>
      <w:proofErr w:type="spellEnd"/>
      <w:r>
        <w:rPr>
          <w:rFonts w:ascii="Century Gothic" w:hAnsi="Century Gothic" w:cstheme="minorHAnsi"/>
          <w:bCs/>
        </w:rPr>
        <w:t>.</w:t>
      </w:r>
      <w:r>
        <w:rPr>
          <w:rFonts w:ascii="Century Gothic" w:hAnsi="Century Gothic" w:cstheme="minorHAnsi"/>
          <w:bCs/>
        </w:rPr>
        <w:br/>
      </w:r>
      <w:r>
        <w:rPr>
          <w:rFonts w:ascii="Century Gothic" w:hAnsi="Century Gothic" w:cstheme="minorHAnsi"/>
        </w:rPr>
        <w:t xml:space="preserve">Результаты биохимического анализа крови на </w:t>
      </w:r>
      <w:proofErr w:type="spellStart"/>
      <w:r>
        <w:rPr>
          <w:rFonts w:ascii="Century Gothic" w:hAnsi="Century Gothic" w:cstheme="minorHAnsi"/>
        </w:rPr>
        <w:t>креатинин</w:t>
      </w:r>
      <w:proofErr w:type="spellEnd"/>
      <w:r>
        <w:rPr>
          <w:rFonts w:ascii="Century Gothic" w:hAnsi="Century Gothic" w:cstheme="minorHAnsi"/>
        </w:rPr>
        <w:t xml:space="preserve"> давностью до 14 дней.</w:t>
      </w:r>
      <w:bookmarkStart w:id="0" w:name="_GoBack"/>
      <w:bookmarkEnd w:id="0"/>
    </w:p>
    <w:p w:rsidR="004E7EAE" w:rsidRDefault="004E7EAE" w:rsidP="004E7EAE">
      <w:pPr>
        <w:pStyle w:val="a3"/>
        <w:numPr>
          <w:ilvl w:val="0"/>
          <w:numId w:val="3"/>
        </w:numPr>
        <w:jc w:val="both"/>
        <w:rPr>
          <w:rFonts w:ascii="Century Gothic" w:eastAsia="Times New Roman" w:hAnsi="Century Gothic" w:cstheme="minorHAnsi"/>
          <w:u w:val="single"/>
        </w:rPr>
      </w:pPr>
      <w:r>
        <w:rPr>
          <w:rFonts w:ascii="Century Gothic" w:hAnsi="Century Gothic" w:cstheme="minorHAnsi"/>
        </w:rPr>
        <w:t>При КТ-</w:t>
      </w:r>
      <w:proofErr w:type="spellStart"/>
      <w:r>
        <w:rPr>
          <w:rFonts w:ascii="Century Gothic" w:hAnsi="Century Gothic" w:cstheme="minorHAnsi"/>
        </w:rPr>
        <w:t>шунтографии</w:t>
      </w:r>
      <w:proofErr w:type="spellEnd"/>
      <w:r>
        <w:rPr>
          <w:rFonts w:ascii="Century Gothic" w:hAnsi="Century Gothic" w:cstheme="minorHAnsi"/>
        </w:rPr>
        <w:t xml:space="preserve"> обязательно нужна выписка с указанием количества и типа шунтов.</w:t>
      </w:r>
    </w:p>
    <w:p w:rsidR="004E7EAE" w:rsidRDefault="004E7EAE" w:rsidP="004E7EAE">
      <w:pPr>
        <w:pStyle w:val="a3"/>
        <w:numPr>
          <w:ilvl w:val="0"/>
          <w:numId w:val="5"/>
        </w:numPr>
        <w:tabs>
          <w:tab w:val="left" w:pos="2334"/>
        </w:tabs>
        <w:jc w:val="both"/>
        <w:rPr>
          <w:rFonts w:ascii="Century Gothic" w:hAnsi="Century Gothic"/>
          <w:highlight w:val="yellow"/>
        </w:rPr>
      </w:pPr>
      <w:r>
        <w:rPr>
          <w:rFonts w:ascii="Century Gothic" w:hAnsi="Century Gothic"/>
          <w:highlight w:val="yellow"/>
        </w:rPr>
        <w:t>Перед введением контрастного вещества применяются нитраты (</w:t>
      </w:r>
      <w:proofErr w:type="spellStart"/>
      <w:r>
        <w:rPr>
          <w:rFonts w:ascii="Century Gothic" w:hAnsi="Century Gothic"/>
          <w:highlight w:val="yellow"/>
        </w:rPr>
        <w:t>Нитролингвал</w:t>
      </w:r>
      <w:proofErr w:type="spellEnd"/>
      <w:r>
        <w:rPr>
          <w:rFonts w:ascii="Century Gothic" w:hAnsi="Century Gothic"/>
          <w:highlight w:val="yellow"/>
        </w:rPr>
        <w:t xml:space="preserve">-Аэрозоль, </w:t>
      </w:r>
      <w:proofErr w:type="spellStart"/>
      <w:r>
        <w:rPr>
          <w:rFonts w:ascii="Century Gothic" w:hAnsi="Century Gothic"/>
          <w:highlight w:val="yellow"/>
        </w:rPr>
        <w:t>Нитроспрей</w:t>
      </w:r>
      <w:proofErr w:type="spellEnd"/>
      <w:r>
        <w:rPr>
          <w:rFonts w:ascii="Century Gothic" w:hAnsi="Century Gothic"/>
          <w:highlight w:val="yellow"/>
        </w:rPr>
        <w:t xml:space="preserve">, </w:t>
      </w:r>
      <w:proofErr w:type="spellStart"/>
      <w:r>
        <w:rPr>
          <w:rFonts w:ascii="Century Gothic" w:hAnsi="Century Gothic"/>
          <w:highlight w:val="yellow"/>
        </w:rPr>
        <w:t>Нитроминт</w:t>
      </w:r>
      <w:proofErr w:type="spellEnd"/>
      <w:r>
        <w:rPr>
          <w:rFonts w:ascii="Century Gothic" w:hAnsi="Century Gothic"/>
          <w:highlight w:val="yellow"/>
        </w:rPr>
        <w:t xml:space="preserve">, </w:t>
      </w:r>
      <w:proofErr w:type="spellStart"/>
      <w:r>
        <w:rPr>
          <w:rFonts w:ascii="Century Gothic" w:hAnsi="Century Gothic"/>
          <w:highlight w:val="yellow"/>
        </w:rPr>
        <w:t>Изокет</w:t>
      </w:r>
      <w:proofErr w:type="spellEnd"/>
      <w:r>
        <w:rPr>
          <w:rFonts w:ascii="Century Gothic" w:hAnsi="Century Gothic"/>
          <w:highlight w:val="yellow"/>
        </w:rPr>
        <w:t>-спрей) для расширения коронарных артерий</w:t>
      </w:r>
    </w:p>
    <w:p w:rsidR="004E7EAE" w:rsidRDefault="004E7EAE" w:rsidP="004E7EAE">
      <w:pPr>
        <w:pStyle w:val="a3"/>
        <w:spacing w:after="160"/>
        <w:contextualSpacing/>
        <w:jc w:val="both"/>
        <w:rPr>
          <w:rFonts w:ascii="Century Gothic" w:hAnsi="Century Gothic" w:cstheme="minorHAnsi"/>
        </w:rPr>
      </w:pPr>
    </w:p>
    <w:p w:rsidR="004E7EAE" w:rsidRDefault="004E7EAE" w:rsidP="004E7EAE">
      <w:pPr>
        <w:pStyle w:val="a3"/>
        <w:numPr>
          <w:ilvl w:val="0"/>
          <w:numId w:val="5"/>
        </w:numPr>
        <w:spacing w:after="160"/>
        <w:contextualSpacing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  <w:highlight w:val="yellow"/>
          <w:u w:val="single"/>
        </w:rPr>
        <w:t>КТ – с контрастированием</w:t>
      </w:r>
      <w:r>
        <w:rPr>
          <w:rFonts w:ascii="Century Gothic" w:hAnsi="Century Gothic" w:cstheme="minorHAnsi"/>
          <w:highlight w:val="yellow"/>
        </w:rPr>
        <w:t xml:space="preserve"> проводиться только при наличии анализа на КРЕАТИНИН (для обычных пациентов давность не более 14 дней, для стационарных не более 7 дней).</w:t>
      </w:r>
      <w:r>
        <w:rPr>
          <w:rFonts w:ascii="Century Gothic" w:hAnsi="Century Gothic" w:cstheme="minorHAnsi"/>
        </w:rPr>
        <w:t xml:space="preserve">  </w:t>
      </w:r>
    </w:p>
    <w:p w:rsidR="004E7EAE" w:rsidRDefault="004E7EAE" w:rsidP="004E7EAE">
      <w:pPr>
        <w:pStyle w:val="a3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:rsidR="004E7EAE" w:rsidRDefault="004E7EAE" w:rsidP="004E7EAE">
      <w:pPr>
        <w:pStyle w:val="a3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:rsidR="004E7EAE" w:rsidRDefault="004E7EAE" w:rsidP="004E7EAE">
      <w:pPr>
        <w:pStyle w:val="a3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:rsidR="004E7EAE" w:rsidRDefault="004E7EAE" w:rsidP="004E7EAE">
      <w:pPr>
        <w:pStyle w:val="a3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:rsidR="004E7EAE" w:rsidRDefault="004E7EAE" w:rsidP="004E7EAE">
      <w:pPr>
        <w:pStyle w:val="a3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:rsidR="004E7EAE" w:rsidRDefault="004E7EAE" w:rsidP="004E7EAE">
      <w:pPr>
        <w:pStyle w:val="a3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:rsidR="004E7EAE" w:rsidRDefault="004E7EAE" w:rsidP="004E7EAE">
      <w:pPr>
        <w:pStyle w:val="a3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:rsidR="004E7EAE" w:rsidRDefault="004E7EAE" w:rsidP="004E7EAE">
      <w:pPr>
        <w:pStyle w:val="a3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:rsidR="004E7EAE" w:rsidRDefault="004E7EAE" w:rsidP="004E7EAE">
      <w:pPr>
        <w:pStyle w:val="a3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:rsidR="004E7EAE" w:rsidRDefault="004E7EAE" w:rsidP="004E7EAE">
      <w:pPr>
        <w:pStyle w:val="a3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:rsidR="00557496" w:rsidRDefault="00FF1797"/>
    <w:sectPr w:rsidR="0055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3149F"/>
    <w:multiLevelType w:val="multilevel"/>
    <w:tmpl w:val="A7064538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B9572D"/>
    <w:multiLevelType w:val="multilevel"/>
    <w:tmpl w:val="5DBC92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341906"/>
    <w:multiLevelType w:val="multilevel"/>
    <w:tmpl w:val="73FABC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B945DC"/>
    <w:multiLevelType w:val="multilevel"/>
    <w:tmpl w:val="9C421676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E9F7A7E"/>
    <w:multiLevelType w:val="multilevel"/>
    <w:tmpl w:val="1E748E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BB03DD"/>
    <w:multiLevelType w:val="multilevel"/>
    <w:tmpl w:val="D3142E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CA8489B"/>
    <w:multiLevelType w:val="multilevel"/>
    <w:tmpl w:val="4E100B1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01"/>
    <w:rsid w:val="001923A7"/>
    <w:rsid w:val="004E7EAE"/>
    <w:rsid w:val="00A26B21"/>
    <w:rsid w:val="00AC511F"/>
    <w:rsid w:val="00D21C01"/>
    <w:rsid w:val="00FF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8CDE7"/>
  <w15:chartTrackingRefBased/>
  <w15:docId w15:val="{AD9CE2F3-368F-4313-88E6-F7757955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EAE"/>
    <w:pPr>
      <w:suppressAutoHyphens/>
      <w:spacing w:after="0" w:line="240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EAE"/>
    <w:pPr>
      <w:ind w:left="720"/>
    </w:pPr>
  </w:style>
  <w:style w:type="table" w:styleId="a4">
    <w:name w:val="Table Grid"/>
    <w:basedOn w:val="a1"/>
    <w:uiPriority w:val="39"/>
    <w:rsid w:val="004E7EA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1034</Words>
  <Characters>5897</Characters>
  <Application>Microsoft Office Word</Application>
  <DocSecurity>0</DocSecurity>
  <Lines>49</Lines>
  <Paragraphs>13</Paragraphs>
  <ScaleCrop>false</ScaleCrop>
  <Company>ГК Эксперт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4</cp:revision>
  <dcterms:created xsi:type="dcterms:W3CDTF">2024-04-15T03:18:00Z</dcterms:created>
  <dcterms:modified xsi:type="dcterms:W3CDTF">2024-04-15T03:25:00Z</dcterms:modified>
</cp:coreProperties>
</file>